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B9F8" w14:textId="5955B0F2" w:rsidR="00106A59" w:rsidRDefault="00106A59" w:rsidP="00106A59">
      <w:pPr>
        <w:ind w:firstLine="709"/>
        <w:jc w:val="both"/>
        <w:rPr>
          <w:rFonts w:cs="Times New Roman"/>
          <w:b/>
          <w:bCs/>
          <w:sz w:val="24"/>
          <w:szCs w:val="24"/>
          <w:lang w:val="ro-RO"/>
        </w:rPr>
      </w:pPr>
      <w:r w:rsidRPr="004F4ED1">
        <w:rPr>
          <w:rFonts w:cs="Times New Roman"/>
          <w:b/>
          <w:bCs/>
          <w:sz w:val="24"/>
          <w:szCs w:val="24"/>
          <w:lang w:val="ro-RO"/>
        </w:rPr>
        <w:t xml:space="preserve">Raport vizita de studiu la </w:t>
      </w:r>
      <w:hyperlink r:id="rId5" w:history="1">
        <w:proofErr w:type="spellStart"/>
        <w:r w:rsidRPr="004F4ED1">
          <w:rPr>
            <w:rFonts w:cs="Times New Roman"/>
            <w:b/>
            <w:bCs/>
            <w:sz w:val="24"/>
            <w:szCs w:val="24"/>
            <w:lang w:val="ro-RO"/>
          </w:rPr>
          <w:t>Lantmäteriet</w:t>
        </w:r>
        <w:proofErr w:type="spellEnd"/>
      </w:hyperlink>
      <w:r w:rsidRPr="004F4ED1">
        <w:rPr>
          <w:rFonts w:cs="Times New Roman"/>
          <w:b/>
          <w:bCs/>
          <w:sz w:val="24"/>
          <w:szCs w:val="24"/>
          <w:lang w:val="ro-RO"/>
        </w:rPr>
        <w:t xml:space="preserve">, </w:t>
      </w:r>
      <w:r w:rsidR="004F4ED1" w:rsidRPr="004F4ED1">
        <w:rPr>
          <w:rFonts w:cs="Times New Roman"/>
          <w:b/>
          <w:bCs/>
          <w:sz w:val="24"/>
          <w:szCs w:val="24"/>
          <w:lang w:val="ro-RO"/>
        </w:rPr>
        <w:t xml:space="preserve">Suedia, </w:t>
      </w:r>
      <w:r w:rsidRPr="004F4ED1">
        <w:rPr>
          <w:rFonts w:cs="Times New Roman"/>
          <w:b/>
          <w:bCs/>
          <w:sz w:val="24"/>
          <w:szCs w:val="24"/>
          <w:lang w:val="ro-RO"/>
        </w:rPr>
        <w:t>7– 9 octombrie 202</w:t>
      </w:r>
      <w:r w:rsidR="004F4ED1" w:rsidRPr="004F4ED1">
        <w:rPr>
          <w:rFonts w:cs="Times New Roman"/>
          <w:b/>
          <w:bCs/>
          <w:sz w:val="24"/>
          <w:szCs w:val="24"/>
          <w:lang w:val="ro-RO"/>
        </w:rPr>
        <w:t>5</w:t>
      </w:r>
    </w:p>
    <w:p w14:paraId="725B9C0E" w14:textId="77777777" w:rsidR="004F4ED1" w:rsidRPr="004F4ED1" w:rsidRDefault="004F4ED1" w:rsidP="00106A59">
      <w:pPr>
        <w:ind w:firstLine="709"/>
        <w:jc w:val="both"/>
        <w:rPr>
          <w:rFonts w:cs="Times New Roman"/>
          <w:b/>
          <w:bCs/>
          <w:sz w:val="24"/>
          <w:szCs w:val="24"/>
          <w:lang w:val="ro-RO"/>
        </w:rPr>
      </w:pPr>
    </w:p>
    <w:p w14:paraId="7DDF92C6" w14:textId="3A9107F6" w:rsidR="004F4ED1" w:rsidRPr="004F4ED1" w:rsidRDefault="004F4ED1" w:rsidP="004F4ED1">
      <w:pPr>
        <w:jc w:val="both"/>
        <w:rPr>
          <w:rFonts w:cs="Times New Roman"/>
          <w:b/>
          <w:bCs/>
          <w:sz w:val="24"/>
          <w:szCs w:val="24"/>
          <w:lang w:val="ro-RO"/>
        </w:rPr>
      </w:pPr>
      <w:r w:rsidRPr="004F4ED1">
        <w:rPr>
          <w:rFonts w:cs="Times New Roman"/>
          <w:b/>
          <w:bCs/>
          <w:sz w:val="24"/>
          <w:szCs w:val="24"/>
          <w:lang w:val="ro-RO"/>
        </w:rPr>
        <w:t xml:space="preserve">Participanți: </w:t>
      </w:r>
      <w:r w:rsidRPr="004F4ED1">
        <w:rPr>
          <w:sz w:val="24"/>
          <w:szCs w:val="24"/>
          <w:lang w:val="ro-RO"/>
        </w:rPr>
        <w:t xml:space="preserve">11 specialiști </w:t>
      </w:r>
      <w:r w:rsidRPr="004F4ED1">
        <w:rPr>
          <w:sz w:val="24"/>
          <w:szCs w:val="24"/>
          <w:lang w:val="ro-RO"/>
        </w:rPr>
        <w:t>din cadrul</w:t>
      </w:r>
      <w:r w:rsidRPr="004F4ED1">
        <w:rPr>
          <w:sz w:val="24"/>
          <w:szCs w:val="24"/>
          <w:lang w:val="ro-RO"/>
        </w:rPr>
        <w:t xml:space="preserve"> Agenției Relații Geodezie, Cartografie și Cadastru și </w:t>
      </w:r>
      <w:r w:rsidRPr="004F4ED1">
        <w:rPr>
          <w:sz w:val="24"/>
          <w:szCs w:val="24"/>
          <w:lang w:val="ro-RO"/>
        </w:rPr>
        <w:t>ai</w:t>
      </w:r>
      <w:r w:rsidRPr="004F4ED1">
        <w:rPr>
          <w:sz w:val="24"/>
          <w:szCs w:val="24"/>
          <w:lang w:val="ro-RO"/>
        </w:rPr>
        <w:t xml:space="preserve"> Instituției Publice Cadastrul Bunurilor Imobile</w:t>
      </w:r>
    </w:p>
    <w:p w14:paraId="78C406BD" w14:textId="566A4510" w:rsidR="004F4ED1" w:rsidRPr="004F4ED1" w:rsidRDefault="004F4ED1" w:rsidP="004F4ED1">
      <w:pPr>
        <w:pStyle w:val="Listparagraf"/>
        <w:numPr>
          <w:ilvl w:val="0"/>
          <w:numId w:val="6"/>
        </w:numPr>
        <w:spacing w:after="0"/>
        <w:jc w:val="both"/>
        <w:rPr>
          <w:b/>
          <w:bCs/>
          <w:sz w:val="24"/>
          <w:szCs w:val="24"/>
          <w:lang w:val="ro-RO"/>
        </w:rPr>
      </w:pPr>
      <w:r w:rsidRPr="004F4ED1">
        <w:rPr>
          <w:b/>
          <w:bCs/>
          <w:sz w:val="24"/>
          <w:szCs w:val="24"/>
          <w:lang w:val="ro-RO"/>
        </w:rPr>
        <w:t>Scurtă descriere a programului vizitei</w:t>
      </w:r>
    </w:p>
    <w:p w14:paraId="1A78F26C" w14:textId="4894350D" w:rsidR="00106A59" w:rsidRPr="004F4ED1" w:rsidRDefault="00106A59" w:rsidP="00106A59">
      <w:pPr>
        <w:spacing w:after="0"/>
        <w:ind w:firstLine="709"/>
        <w:jc w:val="both"/>
        <w:rPr>
          <w:sz w:val="24"/>
          <w:szCs w:val="24"/>
          <w:lang w:val="ro-RO"/>
        </w:rPr>
      </w:pPr>
      <w:r w:rsidRPr="004F4ED1">
        <w:rPr>
          <w:sz w:val="24"/>
          <w:szCs w:val="24"/>
          <w:lang w:val="ro-RO"/>
        </w:rPr>
        <w:t xml:space="preserve">În perioada 7–9 octombrie 2025, o delegație din Republica Moldova, alcătuită din 11 specialiști — dintre care 3 reprezentanți ai Agenției Relații Geodezie, Cartografie și Cadastru și 8 reprezentanți ai Instituției Publice „Cadastrul Bunurilor Imobile” — a efectuat o vizită de studiu la </w:t>
      </w:r>
      <w:proofErr w:type="spellStart"/>
      <w:r w:rsidRPr="004F4ED1">
        <w:rPr>
          <w:sz w:val="24"/>
          <w:szCs w:val="24"/>
          <w:lang w:val="ro-RO"/>
        </w:rPr>
        <w:t>Lantmäteriet</w:t>
      </w:r>
      <w:proofErr w:type="spellEnd"/>
      <w:r w:rsidRPr="004F4ED1">
        <w:rPr>
          <w:sz w:val="24"/>
          <w:szCs w:val="24"/>
          <w:lang w:val="ro-RO"/>
        </w:rPr>
        <w:t>, instituția publică națională a Regatului Suediei responsabilă de administrarea sistemului cadastral, cartografic și a registrului funciar.</w:t>
      </w:r>
    </w:p>
    <w:p w14:paraId="2CF8D567" w14:textId="77777777" w:rsidR="00106A59" w:rsidRPr="004F4ED1" w:rsidRDefault="00106A59" w:rsidP="00106A59">
      <w:pPr>
        <w:spacing w:after="0"/>
        <w:ind w:firstLine="709"/>
        <w:jc w:val="both"/>
        <w:rPr>
          <w:sz w:val="24"/>
          <w:szCs w:val="24"/>
          <w:lang w:val="ro-RO"/>
        </w:rPr>
      </w:pPr>
      <w:r w:rsidRPr="004F4ED1">
        <w:rPr>
          <w:sz w:val="24"/>
          <w:szCs w:val="24"/>
          <w:lang w:val="ro-RO"/>
        </w:rPr>
        <w:t xml:space="preserve">Vizita s-a desfășurat în orașul </w:t>
      </w:r>
      <w:proofErr w:type="spellStart"/>
      <w:r w:rsidRPr="004F4ED1">
        <w:rPr>
          <w:sz w:val="24"/>
          <w:szCs w:val="24"/>
          <w:lang w:val="ro-RO"/>
        </w:rPr>
        <w:t>Gävle</w:t>
      </w:r>
      <w:proofErr w:type="spellEnd"/>
      <w:r w:rsidRPr="004F4ED1">
        <w:rPr>
          <w:sz w:val="24"/>
          <w:szCs w:val="24"/>
          <w:lang w:val="ro-RO"/>
        </w:rPr>
        <w:t xml:space="preserve">, sediul central al </w:t>
      </w:r>
      <w:proofErr w:type="spellStart"/>
      <w:r w:rsidRPr="004F4ED1">
        <w:rPr>
          <w:sz w:val="24"/>
          <w:szCs w:val="24"/>
          <w:lang w:val="ro-RO"/>
        </w:rPr>
        <w:t>Lantmäteriet</w:t>
      </w:r>
      <w:proofErr w:type="spellEnd"/>
      <w:r w:rsidRPr="004F4ED1">
        <w:rPr>
          <w:sz w:val="24"/>
          <w:szCs w:val="24"/>
          <w:lang w:val="ro-RO"/>
        </w:rPr>
        <w:t>, instituție aflată în subordinea Ministerului Afacerilor Rurale și Infrastructurii al Suediei.</w:t>
      </w:r>
    </w:p>
    <w:p w14:paraId="611FA4C9" w14:textId="77777777" w:rsidR="00106A59" w:rsidRPr="004F4ED1" w:rsidRDefault="00106A59" w:rsidP="00106A59">
      <w:pPr>
        <w:spacing w:after="0"/>
        <w:ind w:firstLine="709"/>
        <w:jc w:val="both"/>
        <w:rPr>
          <w:sz w:val="24"/>
          <w:szCs w:val="24"/>
          <w:lang w:val="ro-RO"/>
        </w:rPr>
      </w:pPr>
      <w:r w:rsidRPr="004F4ED1">
        <w:rPr>
          <w:sz w:val="24"/>
          <w:szCs w:val="24"/>
          <w:lang w:val="ro-RO"/>
        </w:rPr>
        <w:t>Scopul principal al vizitei a fost schimbul de experiență și preluarea bunelor practici în domeniul cadastrului, digitalizării serviciilor publice și gestionării datelor spațiale, în contextul modernizării continue a sistemului cadastral național al Republicii Moldova și alinierii acestuia la standardele europene.</w:t>
      </w:r>
    </w:p>
    <w:p w14:paraId="1601A118" w14:textId="13E9A1C8" w:rsidR="00106A59" w:rsidRPr="004F4ED1" w:rsidRDefault="00106A59" w:rsidP="00106A59">
      <w:pPr>
        <w:spacing w:after="0"/>
        <w:ind w:firstLine="709"/>
        <w:jc w:val="both"/>
        <w:rPr>
          <w:sz w:val="24"/>
          <w:szCs w:val="24"/>
          <w:lang w:val="ro-RO"/>
        </w:rPr>
      </w:pPr>
    </w:p>
    <w:p w14:paraId="578DC2AD" w14:textId="77777777" w:rsidR="00106A59" w:rsidRPr="004F4ED1" w:rsidRDefault="00106A59" w:rsidP="00106A59">
      <w:pPr>
        <w:spacing w:after="0"/>
        <w:ind w:firstLine="709"/>
        <w:jc w:val="both"/>
        <w:rPr>
          <w:b/>
          <w:bCs/>
          <w:sz w:val="24"/>
          <w:szCs w:val="24"/>
          <w:lang w:val="ro-RO"/>
        </w:rPr>
      </w:pPr>
      <w:r w:rsidRPr="004F4ED1">
        <w:rPr>
          <w:b/>
          <w:bCs/>
          <w:sz w:val="24"/>
          <w:szCs w:val="24"/>
          <w:lang w:val="ro-RO"/>
        </w:rPr>
        <w:t>2. Desfășurarea vizitei</w:t>
      </w:r>
    </w:p>
    <w:p w14:paraId="74724016" w14:textId="77777777" w:rsidR="00106A59" w:rsidRPr="004F4ED1" w:rsidRDefault="00106A59" w:rsidP="00106A59">
      <w:pPr>
        <w:spacing w:after="0"/>
        <w:ind w:firstLine="709"/>
        <w:jc w:val="both"/>
        <w:rPr>
          <w:sz w:val="24"/>
          <w:szCs w:val="24"/>
          <w:lang w:val="ro-RO"/>
        </w:rPr>
      </w:pPr>
      <w:r w:rsidRPr="004F4ED1">
        <w:rPr>
          <w:sz w:val="24"/>
          <w:szCs w:val="24"/>
          <w:lang w:val="ro-RO"/>
        </w:rPr>
        <w:t>Pe parcursul celor trei zile, delegația a participat la sesiuni tematice și prezentări axate pe următoarele domenii:</w:t>
      </w:r>
    </w:p>
    <w:p w14:paraId="5E1172A4" w14:textId="77777777" w:rsidR="00106A59" w:rsidRPr="004F4ED1" w:rsidRDefault="00106A59" w:rsidP="00106A59">
      <w:pPr>
        <w:numPr>
          <w:ilvl w:val="0"/>
          <w:numId w:val="1"/>
        </w:numPr>
        <w:spacing w:after="0"/>
        <w:jc w:val="both"/>
        <w:rPr>
          <w:sz w:val="24"/>
          <w:szCs w:val="24"/>
          <w:lang w:val="ro-RO"/>
        </w:rPr>
      </w:pPr>
      <w:r w:rsidRPr="004F4ED1">
        <w:rPr>
          <w:sz w:val="24"/>
          <w:szCs w:val="24"/>
          <w:lang w:val="ro-RO"/>
        </w:rPr>
        <w:t>modelul suedez de administrare cadastrală și funciară;</w:t>
      </w:r>
    </w:p>
    <w:p w14:paraId="5E67F816" w14:textId="77777777" w:rsidR="00106A59" w:rsidRPr="004F4ED1" w:rsidRDefault="00106A59" w:rsidP="00106A59">
      <w:pPr>
        <w:numPr>
          <w:ilvl w:val="0"/>
          <w:numId w:val="1"/>
        </w:numPr>
        <w:spacing w:after="0"/>
        <w:jc w:val="both"/>
        <w:rPr>
          <w:sz w:val="24"/>
          <w:szCs w:val="24"/>
          <w:lang w:val="ro-RO"/>
        </w:rPr>
      </w:pPr>
      <w:r w:rsidRPr="004F4ED1">
        <w:rPr>
          <w:sz w:val="24"/>
          <w:szCs w:val="24"/>
          <w:lang w:val="ro-RO"/>
        </w:rPr>
        <w:t>cadrul legislativ și instituțional privind managementul terenurilor;</w:t>
      </w:r>
    </w:p>
    <w:p w14:paraId="55A53D28" w14:textId="77777777" w:rsidR="00106A59" w:rsidRPr="004F4ED1" w:rsidRDefault="00106A59" w:rsidP="00106A59">
      <w:pPr>
        <w:numPr>
          <w:ilvl w:val="0"/>
          <w:numId w:val="1"/>
        </w:numPr>
        <w:spacing w:after="0"/>
        <w:jc w:val="both"/>
        <w:rPr>
          <w:sz w:val="24"/>
          <w:szCs w:val="24"/>
          <w:lang w:val="ro-RO"/>
        </w:rPr>
      </w:pPr>
      <w:r w:rsidRPr="004F4ED1">
        <w:rPr>
          <w:sz w:val="24"/>
          <w:szCs w:val="24"/>
          <w:lang w:val="ro-RO"/>
        </w:rPr>
        <w:t xml:space="preserve">soluțiile IT inovatoare utilizate de </w:t>
      </w:r>
      <w:proofErr w:type="spellStart"/>
      <w:r w:rsidRPr="004F4ED1">
        <w:rPr>
          <w:sz w:val="24"/>
          <w:szCs w:val="24"/>
          <w:lang w:val="ro-RO"/>
        </w:rPr>
        <w:t>Lantmäteriet</w:t>
      </w:r>
      <w:proofErr w:type="spellEnd"/>
      <w:r w:rsidRPr="004F4ED1">
        <w:rPr>
          <w:sz w:val="24"/>
          <w:szCs w:val="24"/>
          <w:lang w:val="ro-RO"/>
        </w:rPr>
        <w:t xml:space="preserve"> pentru digitalizarea serviciilor publice;</w:t>
      </w:r>
    </w:p>
    <w:p w14:paraId="3F280737" w14:textId="77777777" w:rsidR="00106A59" w:rsidRPr="004F4ED1" w:rsidRDefault="00106A59" w:rsidP="00106A59">
      <w:pPr>
        <w:numPr>
          <w:ilvl w:val="0"/>
          <w:numId w:val="1"/>
        </w:numPr>
        <w:spacing w:after="0"/>
        <w:jc w:val="both"/>
        <w:rPr>
          <w:sz w:val="24"/>
          <w:szCs w:val="24"/>
          <w:lang w:val="ro-RO"/>
        </w:rPr>
      </w:pPr>
      <w:r w:rsidRPr="004F4ED1">
        <w:rPr>
          <w:sz w:val="24"/>
          <w:szCs w:val="24"/>
          <w:lang w:val="ro-RO"/>
        </w:rPr>
        <w:t>arhitectura și interoperabilitatea bazelor de date geospațiale;</w:t>
      </w:r>
    </w:p>
    <w:p w14:paraId="7DA9A118" w14:textId="77777777" w:rsidR="00106A59" w:rsidRPr="004F4ED1" w:rsidRDefault="00106A59" w:rsidP="00106A59">
      <w:pPr>
        <w:numPr>
          <w:ilvl w:val="0"/>
          <w:numId w:val="1"/>
        </w:numPr>
        <w:spacing w:after="0"/>
        <w:jc w:val="both"/>
        <w:rPr>
          <w:sz w:val="24"/>
          <w:szCs w:val="24"/>
          <w:lang w:val="ro-RO"/>
        </w:rPr>
      </w:pPr>
      <w:r w:rsidRPr="004F4ED1">
        <w:rPr>
          <w:sz w:val="24"/>
          <w:szCs w:val="24"/>
          <w:lang w:val="ro-RO"/>
        </w:rPr>
        <w:t>guvernanța datelor și accesul public la informații.</w:t>
      </w:r>
    </w:p>
    <w:p w14:paraId="6F9606EF" w14:textId="77777777" w:rsidR="00106A59" w:rsidRPr="004F4ED1" w:rsidRDefault="00106A59" w:rsidP="00106A59">
      <w:pPr>
        <w:spacing w:after="0"/>
        <w:ind w:firstLine="709"/>
        <w:jc w:val="both"/>
        <w:rPr>
          <w:sz w:val="24"/>
          <w:szCs w:val="24"/>
          <w:lang w:val="ro-RO"/>
        </w:rPr>
      </w:pPr>
      <w:r w:rsidRPr="004F4ED1">
        <w:rPr>
          <w:sz w:val="24"/>
          <w:szCs w:val="24"/>
          <w:lang w:val="ro-RO"/>
        </w:rPr>
        <w:t xml:space="preserve">Delegația a fost informată despre direcțiile strategice și valorile de bază ale </w:t>
      </w:r>
      <w:proofErr w:type="spellStart"/>
      <w:r w:rsidRPr="004F4ED1">
        <w:rPr>
          <w:sz w:val="24"/>
          <w:szCs w:val="24"/>
          <w:lang w:val="ro-RO"/>
        </w:rPr>
        <w:t>Lantmäteriet</w:t>
      </w:r>
      <w:proofErr w:type="spellEnd"/>
      <w:r w:rsidRPr="004F4ED1">
        <w:rPr>
          <w:sz w:val="24"/>
          <w:szCs w:val="24"/>
          <w:lang w:val="ro-RO"/>
        </w:rPr>
        <w:t>, structurate în jurul principiilor administrației publice suedeze: democrație, legalitate, obiectivitate, respect, eficiență și serviciu.</w:t>
      </w:r>
    </w:p>
    <w:p w14:paraId="6994EA58" w14:textId="77777777" w:rsidR="00106A59" w:rsidRPr="004F4ED1" w:rsidRDefault="00106A59" w:rsidP="00106A59">
      <w:pPr>
        <w:spacing w:after="0"/>
        <w:ind w:firstLine="709"/>
        <w:jc w:val="both"/>
        <w:rPr>
          <w:sz w:val="24"/>
          <w:szCs w:val="24"/>
          <w:lang w:val="ro-RO"/>
        </w:rPr>
      </w:pPr>
      <w:r w:rsidRPr="004F4ED1">
        <w:rPr>
          <w:sz w:val="24"/>
          <w:szCs w:val="24"/>
          <w:lang w:val="ro-RO"/>
        </w:rPr>
        <w:t>Totodată, participanții au avut oportunitatea de a analiza planul de acțiune privind îmbunătățirea calității datelor geospațiale, proiectele de reformă legislativă referitoare la registrul funciar și investigațiile în curs pentru introducerea unui sistem bazat pe coordonate definite ale limitelor de proprietate – sistem ce urmează a fi implementat gradual până în anul 2029.</w:t>
      </w:r>
    </w:p>
    <w:p w14:paraId="10EF24FD" w14:textId="0D5B9446" w:rsidR="00106A59" w:rsidRPr="004F4ED1" w:rsidRDefault="00106A59" w:rsidP="00106A59">
      <w:pPr>
        <w:spacing w:after="0"/>
        <w:ind w:firstLine="709"/>
        <w:jc w:val="both"/>
        <w:rPr>
          <w:sz w:val="24"/>
          <w:szCs w:val="24"/>
          <w:lang w:val="ro-RO"/>
        </w:rPr>
      </w:pPr>
    </w:p>
    <w:p w14:paraId="416AAA6B" w14:textId="77777777" w:rsidR="00106A59" w:rsidRPr="004F4ED1" w:rsidRDefault="00106A59" w:rsidP="00106A59">
      <w:pPr>
        <w:spacing w:after="0"/>
        <w:ind w:firstLine="709"/>
        <w:jc w:val="both"/>
        <w:rPr>
          <w:b/>
          <w:bCs/>
          <w:sz w:val="24"/>
          <w:szCs w:val="24"/>
          <w:lang w:val="ro-RO"/>
        </w:rPr>
      </w:pPr>
      <w:r w:rsidRPr="004F4ED1">
        <w:rPr>
          <w:b/>
          <w:bCs/>
          <w:sz w:val="24"/>
          <w:szCs w:val="24"/>
          <w:lang w:val="ro-RO"/>
        </w:rPr>
        <w:t xml:space="preserve">3. Informații despre instituția gazdă – </w:t>
      </w:r>
      <w:proofErr w:type="spellStart"/>
      <w:r w:rsidRPr="004F4ED1">
        <w:rPr>
          <w:b/>
          <w:bCs/>
          <w:sz w:val="24"/>
          <w:szCs w:val="24"/>
          <w:lang w:val="ro-RO"/>
        </w:rPr>
        <w:t>Lantmäteriet</w:t>
      </w:r>
      <w:proofErr w:type="spellEnd"/>
    </w:p>
    <w:p w14:paraId="1572E646" w14:textId="77777777" w:rsidR="004F4ED1" w:rsidRPr="004F4ED1" w:rsidRDefault="00106A59" w:rsidP="00106A59">
      <w:pPr>
        <w:spacing w:after="0"/>
        <w:ind w:firstLine="709"/>
        <w:jc w:val="both"/>
        <w:rPr>
          <w:sz w:val="24"/>
          <w:szCs w:val="24"/>
          <w:lang w:val="ro-RO"/>
        </w:rPr>
      </w:pPr>
      <w:r w:rsidRPr="004F4ED1">
        <w:rPr>
          <w:sz w:val="24"/>
          <w:szCs w:val="24"/>
          <w:lang w:val="ro-RO"/>
        </w:rPr>
        <w:t xml:space="preserve">Fondată în 1628, </w:t>
      </w:r>
      <w:proofErr w:type="spellStart"/>
      <w:r w:rsidRPr="004F4ED1">
        <w:rPr>
          <w:sz w:val="24"/>
          <w:szCs w:val="24"/>
          <w:lang w:val="ro-RO"/>
        </w:rPr>
        <w:t>Lantmäteriet</w:t>
      </w:r>
      <w:proofErr w:type="spellEnd"/>
      <w:r w:rsidRPr="004F4ED1">
        <w:rPr>
          <w:sz w:val="24"/>
          <w:szCs w:val="24"/>
          <w:lang w:val="ro-RO"/>
        </w:rPr>
        <w:t xml:space="preserve"> este una dintre cele mai vechi instituții publice din Europa în domeniul cartografiei și cadastrului.</w:t>
      </w:r>
    </w:p>
    <w:p w14:paraId="3418A0AA" w14:textId="67DC9CA9" w:rsidR="00106A59" w:rsidRPr="004F4ED1" w:rsidRDefault="004F4ED1" w:rsidP="00106A59">
      <w:pPr>
        <w:spacing w:after="0"/>
        <w:ind w:firstLine="709"/>
        <w:jc w:val="both"/>
        <w:rPr>
          <w:sz w:val="24"/>
          <w:szCs w:val="24"/>
          <w:lang w:val="ro-RO"/>
        </w:rPr>
      </w:pPr>
      <w:r w:rsidRPr="004F4ED1">
        <w:rPr>
          <w:sz w:val="24"/>
          <w:szCs w:val="24"/>
          <w:lang w:val="ro-RO"/>
        </w:rPr>
        <w:t xml:space="preserve"> </w:t>
      </w:r>
      <w:r w:rsidR="00106A59" w:rsidRPr="004F4ED1">
        <w:rPr>
          <w:sz w:val="24"/>
          <w:szCs w:val="24"/>
          <w:lang w:val="ro-RO"/>
        </w:rPr>
        <w:t>Instituția administrează:</w:t>
      </w:r>
    </w:p>
    <w:p w14:paraId="2FD872C6" w14:textId="77777777" w:rsidR="00106A59" w:rsidRPr="004F4ED1" w:rsidRDefault="00106A59" w:rsidP="00106A59">
      <w:pPr>
        <w:numPr>
          <w:ilvl w:val="0"/>
          <w:numId w:val="2"/>
        </w:numPr>
        <w:spacing w:after="0"/>
        <w:jc w:val="both"/>
        <w:rPr>
          <w:sz w:val="24"/>
          <w:szCs w:val="24"/>
          <w:lang w:val="ro-RO"/>
        </w:rPr>
      </w:pPr>
      <w:r w:rsidRPr="004F4ED1">
        <w:rPr>
          <w:sz w:val="24"/>
          <w:szCs w:val="24"/>
          <w:lang w:val="ro-RO"/>
        </w:rPr>
        <w:t>peste 3,6 milioane de obiecte imobiliare în registrul funciar;</w:t>
      </w:r>
    </w:p>
    <w:p w14:paraId="1DB7E7AE" w14:textId="77777777" w:rsidR="00106A59" w:rsidRPr="004F4ED1" w:rsidRDefault="00106A59" w:rsidP="00106A59">
      <w:pPr>
        <w:numPr>
          <w:ilvl w:val="0"/>
          <w:numId w:val="2"/>
        </w:numPr>
        <w:spacing w:after="0"/>
        <w:jc w:val="both"/>
        <w:rPr>
          <w:sz w:val="24"/>
          <w:szCs w:val="24"/>
          <w:lang w:val="ro-RO"/>
        </w:rPr>
      </w:pPr>
      <w:r w:rsidRPr="004F4ED1">
        <w:rPr>
          <w:sz w:val="24"/>
          <w:szCs w:val="24"/>
          <w:lang w:val="ro-RO"/>
        </w:rPr>
        <w:t>aproximativ 7 trilioane SEK în ipoteci înregistrate;</w:t>
      </w:r>
    </w:p>
    <w:p w14:paraId="333FB835" w14:textId="77777777" w:rsidR="00106A59" w:rsidRPr="004F4ED1" w:rsidRDefault="00106A59" w:rsidP="00106A59">
      <w:pPr>
        <w:numPr>
          <w:ilvl w:val="0"/>
          <w:numId w:val="2"/>
        </w:numPr>
        <w:spacing w:after="0"/>
        <w:jc w:val="both"/>
        <w:rPr>
          <w:sz w:val="24"/>
          <w:szCs w:val="24"/>
          <w:lang w:val="ro-RO"/>
        </w:rPr>
      </w:pPr>
      <w:r w:rsidRPr="004F4ED1">
        <w:rPr>
          <w:sz w:val="24"/>
          <w:szCs w:val="24"/>
          <w:lang w:val="ro-RO"/>
        </w:rPr>
        <w:t>și contribuie anual la colectarea a peste 10 miliarde SEK din taxe de timbru și alte plăți administrative.</w:t>
      </w:r>
    </w:p>
    <w:p w14:paraId="2E8A935C" w14:textId="77777777" w:rsidR="00106A59" w:rsidRPr="004F4ED1" w:rsidRDefault="00106A59" w:rsidP="00106A59">
      <w:pPr>
        <w:spacing w:after="0"/>
        <w:ind w:firstLine="709"/>
        <w:jc w:val="both"/>
        <w:rPr>
          <w:sz w:val="24"/>
          <w:szCs w:val="24"/>
          <w:lang w:val="ro-RO"/>
        </w:rPr>
      </w:pPr>
      <w:r w:rsidRPr="004F4ED1">
        <w:rPr>
          <w:sz w:val="24"/>
          <w:szCs w:val="24"/>
          <w:lang w:val="ro-RO"/>
        </w:rPr>
        <w:t xml:space="preserve">Cu un efectiv de aproximativ 2200 angajați (59% femei, 41% bărbați) și o rețea de 50 de birouri teritoriale, </w:t>
      </w:r>
      <w:proofErr w:type="spellStart"/>
      <w:r w:rsidRPr="004F4ED1">
        <w:rPr>
          <w:sz w:val="24"/>
          <w:szCs w:val="24"/>
          <w:lang w:val="ro-RO"/>
        </w:rPr>
        <w:t>Lantmäteriet</w:t>
      </w:r>
      <w:proofErr w:type="spellEnd"/>
      <w:r w:rsidRPr="004F4ED1">
        <w:rPr>
          <w:sz w:val="24"/>
          <w:szCs w:val="24"/>
          <w:lang w:val="ro-RO"/>
        </w:rPr>
        <w:t xml:space="preserve"> asigură:</w:t>
      </w:r>
    </w:p>
    <w:p w14:paraId="1543FC8D" w14:textId="77777777" w:rsidR="00106A59" w:rsidRPr="004F4ED1" w:rsidRDefault="00106A59" w:rsidP="00106A59">
      <w:pPr>
        <w:numPr>
          <w:ilvl w:val="0"/>
          <w:numId w:val="3"/>
        </w:numPr>
        <w:spacing w:after="0"/>
        <w:jc w:val="both"/>
        <w:rPr>
          <w:sz w:val="24"/>
          <w:szCs w:val="24"/>
          <w:lang w:val="ro-RO"/>
        </w:rPr>
      </w:pPr>
      <w:r w:rsidRPr="004F4ED1">
        <w:rPr>
          <w:sz w:val="24"/>
          <w:szCs w:val="24"/>
          <w:lang w:val="ro-RO"/>
        </w:rPr>
        <w:t>gestionarea registrului funciar și cadastral;</w:t>
      </w:r>
    </w:p>
    <w:p w14:paraId="6C3C75AD" w14:textId="77777777" w:rsidR="00106A59" w:rsidRPr="004F4ED1" w:rsidRDefault="00106A59" w:rsidP="00106A59">
      <w:pPr>
        <w:numPr>
          <w:ilvl w:val="0"/>
          <w:numId w:val="3"/>
        </w:numPr>
        <w:spacing w:after="0"/>
        <w:jc w:val="both"/>
        <w:rPr>
          <w:sz w:val="24"/>
          <w:szCs w:val="24"/>
          <w:lang w:val="ro-RO"/>
        </w:rPr>
      </w:pPr>
      <w:r w:rsidRPr="004F4ED1">
        <w:rPr>
          <w:sz w:val="24"/>
          <w:szCs w:val="24"/>
          <w:lang w:val="ro-RO"/>
        </w:rPr>
        <w:t>administrarea bazelor de date geospațiale naționale;</w:t>
      </w:r>
    </w:p>
    <w:p w14:paraId="667B607C" w14:textId="77777777" w:rsidR="00106A59" w:rsidRPr="004F4ED1" w:rsidRDefault="00106A59" w:rsidP="00106A59">
      <w:pPr>
        <w:numPr>
          <w:ilvl w:val="0"/>
          <w:numId w:val="3"/>
        </w:numPr>
        <w:spacing w:after="0"/>
        <w:jc w:val="both"/>
        <w:rPr>
          <w:sz w:val="24"/>
          <w:szCs w:val="24"/>
          <w:lang w:val="ro-RO"/>
        </w:rPr>
      </w:pPr>
      <w:r w:rsidRPr="004F4ED1">
        <w:rPr>
          <w:sz w:val="24"/>
          <w:szCs w:val="24"/>
          <w:lang w:val="ro-RO"/>
        </w:rPr>
        <w:t xml:space="preserve">cooperarea cu autoritățile municipale și sectorul privat în domeniul </w:t>
      </w:r>
      <w:proofErr w:type="spellStart"/>
      <w:r w:rsidRPr="004F4ED1">
        <w:rPr>
          <w:sz w:val="24"/>
          <w:szCs w:val="24"/>
          <w:lang w:val="ro-RO"/>
        </w:rPr>
        <w:t>geodatei</w:t>
      </w:r>
      <w:proofErr w:type="spellEnd"/>
      <w:r w:rsidRPr="004F4ED1">
        <w:rPr>
          <w:sz w:val="24"/>
          <w:szCs w:val="24"/>
          <w:lang w:val="ro-RO"/>
        </w:rPr>
        <w:t>.</w:t>
      </w:r>
    </w:p>
    <w:p w14:paraId="263171F4" w14:textId="77777777" w:rsidR="00106A59" w:rsidRPr="004F4ED1" w:rsidRDefault="00106A59" w:rsidP="00106A59">
      <w:pPr>
        <w:spacing w:after="0"/>
        <w:ind w:firstLine="709"/>
        <w:jc w:val="both"/>
        <w:rPr>
          <w:sz w:val="24"/>
          <w:szCs w:val="24"/>
          <w:lang w:val="ro-RO"/>
        </w:rPr>
      </w:pPr>
      <w:proofErr w:type="spellStart"/>
      <w:r w:rsidRPr="004F4ED1">
        <w:rPr>
          <w:sz w:val="24"/>
          <w:szCs w:val="24"/>
          <w:lang w:val="ro-RO"/>
        </w:rPr>
        <w:t>Lantmäteriet</w:t>
      </w:r>
      <w:proofErr w:type="spellEnd"/>
      <w:r w:rsidRPr="004F4ED1">
        <w:rPr>
          <w:sz w:val="24"/>
          <w:szCs w:val="24"/>
          <w:lang w:val="ro-RO"/>
        </w:rPr>
        <w:t xml:space="preserve"> are o cifră anuală de afaceri de circa 2 miliarde SEK, dintre care 65% reprezintă venituri proprii provenite din taxe pentru servicii, iar 32% — subvenții guvernamentale pentru programe de stat privind îmbunătățirea infrastructurii digitale.</w:t>
      </w:r>
    </w:p>
    <w:p w14:paraId="51ED6F9D" w14:textId="206AEC4C" w:rsidR="00106A59" w:rsidRPr="004F4ED1" w:rsidRDefault="00106A59" w:rsidP="00106A59">
      <w:pPr>
        <w:spacing w:after="0"/>
        <w:ind w:firstLine="709"/>
        <w:jc w:val="both"/>
        <w:rPr>
          <w:sz w:val="24"/>
          <w:szCs w:val="24"/>
          <w:lang w:val="ro-RO"/>
        </w:rPr>
      </w:pPr>
    </w:p>
    <w:p w14:paraId="285AE0F8" w14:textId="77777777" w:rsidR="004F4ED1" w:rsidRDefault="004F4ED1" w:rsidP="00106A59">
      <w:pPr>
        <w:spacing w:after="0"/>
        <w:ind w:firstLine="709"/>
        <w:jc w:val="both"/>
        <w:rPr>
          <w:b/>
          <w:bCs/>
          <w:sz w:val="24"/>
          <w:szCs w:val="24"/>
          <w:lang w:val="ro-RO"/>
        </w:rPr>
      </w:pPr>
    </w:p>
    <w:p w14:paraId="1CDFA8F0" w14:textId="4FD48E10" w:rsidR="00106A59" w:rsidRPr="004F4ED1" w:rsidRDefault="00106A59" w:rsidP="00106A59">
      <w:pPr>
        <w:spacing w:after="0"/>
        <w:ind w:firstLine="709"/>
        <w:jc w:val="both"/>
        <w:rPr>
          <w:b/>
          <w:bCs/>
          <w:sz w:val="24"/>
          <w:szCs w:val="24"/>
          <w:lang w:val="ro-RO"/>
        </w:rPr>
      </w:pPr>
      <w:r w:rsidRPr="004F4ED1">
        <w:rPr>
          <w:b/>
          <w:bCs/>
          <w:sz w:val="24"/>
          <w:szCs w:val="24"/>
          <w:lang w:val="ro-RO"/>
        </w:rPr>
        <w:lastRenderedPageBreak/>
        <w:t>4. Aspecte de interes și bune practici preluate</w:t>
      </w:r>
    </w:p>
    <w:p w14:paraId="4B60BCEE" w14:textId="77777777" w:rsidR="00106A59" w:rsidRPr="004F4ED1" w:rsidRDefault="00106A59" w:rsidP="00106A59">
      <w:pPr>
        <w:spacing w:after="0"/>
        <w:ind w:firstLine="709"/>
        <w:jc w:val="both"/>
        <w:rPr>
          <w:sz w:val="24"/>
          <w:szCs w:val="24"/>
          <w:lang w:val="ro-RO"/>
        </w:rPr>
      </w:pPr>
      <w:r w:rsidRPr="004F4ED1">
        <w:rPr>
          <w:sz w:val="24"/>
          <w:szCs w:val="24"/>
          <w:lang w:val="ro-RO"/>
        </w:rPr>
        <w:t>Principalele elemente de interes pentru dezvoltarea sistemului cadastral din Republica Moldova identificate în cadrul vizitei au fost:</w:t>
      </w:r>
    </w:p>
    <w:p w14:paraId="593CC3B6" w14:textId="77777777" w:rsidR="00106A59" w:rsidRPr="004F4ED1" w:rsidRDefault="00106A59" w:rsidP="00106A59">
      <w:pPr>
        <w:numPr>
          <w:ilvl w:val="0"/>
          <w:numId w:val="4"/>
        </w:numPr>
        <w:spacing w:after="0"/>
        <w:jc w:val="both"/>
        <w:rPr>
          <w:sz w:val="24"/>
          <w:szCs w:val="24"/>
          <w:lang w:val="ro-RO"/>
        </w:rPr>
      </w:pPr>
      <w:r w:rsidRPr="004F4ED1">
        <w:rPr>
          <w:b/>
          <w:bCs/>
          <w:sz w:val="24"/>
          <w:szCs w:val="24"/>
          <w:lang w:val="ro-RO"/>
        </w:rPr>
        <w:t>Integrarea completă</w:t>
      </w:r>
      <w:r w:rsidRPr="004F4ED1">
        <w:rPr>
          <w:sz w:val="24"/>
          <w:szCs w:val="24"/>
          <w:lang w:val="ro-RO"/>
        </w:rPr>
        <w:t xml:space="preserve"> a registrului cadastral și funciar într-o platformă digitală unică, cu acces public diferențiat;</w:t>
      </w:r>
    </w:p>
    <w:p w14:paraId="0B2D0160" w14:textId="77777777" w:rsidR="00106A59" w:rsidRPr="004F4ED1" w:rsidRDefault="00106A59" w:rsidP="00106A59">
      <w:pPr>
        <w:numPr>
          <w:ilvl w:val="0"/>
          <w:numId w:val="4"/>
        </w:numPr>
        <w:spacing w:after="0"/>
        <w:jc w:val="both"/>
        <w:rPr>
          <w:sz w:val="24"/>
          <w:szCs w:val="24"/>
          <w:lang w:val="ro-RO"/>
        </w:rPr>
      </w:pPr>
      <w:r w:rsidRPr="004F4ED1">
        <w:rPr>
          <w:b/>
          <w:bCs/>
          <w:sz w:val="24"/>
          <w:szCs w:val="24"/>
          <w:lang w:val="ro-RO"/>
        </w:rPr>
        <w:t>Determinarea limitelor proprietăților prin coordonate</w:t>
      </w:r>
      <w:r w:rsidRPr="004F4ED1">
        <w:rPr>
          <w:sz w:val="24"/>
          <w:szCs w:val="24"/>
          <w:lang w:val="ro-RO"/>
        </w:rPr>
        <w:t>, cu garantarea exactității datelor de către stat;</w:t>
      </w:r>
    </w:p>
    <w:p w14:paraId="589A74B3" w14:textId="77777777" w:rsidR="00106A59" w:rsidRPr="004F4ED1" w:rsidRDefault="00106A59" w:rsidP="00106A59">
      <w:pPr>
        <w:numPr>
          <w:ilvl w:val="0"/>
          <w:numId w:val="4"/>
        </w:numPr>
        <w:spacing w:after="0"/>
        <w:jc w:val="both"/>
        <w:rPr>
          <w:sz w:val="24"/>
          <w:szCs w:val="24"/>
          <w:lang w:val="ro-RO"/>
        </w:rPr>
      </w:pPr>
      <w:r w:rsidRPr="004F4ED1">
        <w:rPr>
          <w:b/>
          <w:bCs/>
          <w:sz w:val="24"/>
          <w:szCs w:val="24"/>
          <w:lang w:val="ro-RO"/>
        </w:rPr>
        <w:t>Guvernanța datelor spațiale</w:t>
      </w:r>
      <w:r w:rsidRPr="004F4ED1">
        <w:rPr>
          <w:sz w:val="24"/>
          <w:szCs w:val="24"/>
          <w:lang w:val="ro-RO"/>
        </w:rPr>
        <w:t xml:space="preserve"> bazată pe cooperarea între autorități centrale, administrații locale și sectorul privat;</w:t>
      </w:r>
    </w:p>
    <w:p w14:paraId="387BD30A" w14:textId="77777777" w:rsidR="00106A59" w:rsidRPr="004F4ED1" w:rsidRDefault="00106A59" w:rsidP="00106A59">
      <w:pPr>
        <w:numPr>
          <w:ilvl w:val="0"/>
          <w:numId w:val="4"/>
        </w:numPr>
        <w:spacing w:after="0"/>
        <w:jc w:val="both"/>
        <w:rPr>
          <w:sz w:val="24"/>
          <w:szCs w:val="24"/>
          <w:lang w:val="ro-RO"/>
        </w:rPr>
      </w:pPr>
      <w:r w:rsidRPr="004F4ED1">
        <w:rPr>
          <w:b/>
          <w:bCs/>
          <w:sz w:val="24"/>
          <w:szCs w:val="24"/>
          <w:lang w:val="ro-RO"/>
        </w:rPr>
        <w:t>Asigurarea interoperabilității</w:t>
      </w:r>
      <w:r w:rsidRPr="004F4ED1">
        <w:rPr>
          <w:sz w:val="24"/>
          <w:szCs w:val="24"/>
          <w:lang w:val="ro-RO"/>
        </w:rPr>
        <w:t xml:space="preserve"> între bazele de date și infrastructura geospațială națională;</w:t>
      </w:r>
    </w:p>
    <w:p w14:paraId="015C0293" w14:textId="77777777" w:rsidR="00106A59" w:rsidRPr="004F4ED1" w:rsidRDefault="00106A59" w:rsidP="00106A59">
      <w:pPr>
        <w:numPr>
          <w:ilvl w:val="0"/>
          <w:numId w:val="4"/>
        </w:numPr>
        <w:spacing w:after="0"/>
        <w:jc w:val="both"/>
        <w:rPr>
          <w:sz w:val="24"/>
          <w:szCs w:val="24"/>
          <w:lang w:val="ro-RO"/>
        </w:rPr>
      </w:pPr>
      <w:r w:rsidRPr="004F4ED1">
        <w:rPr>
          <w:b/>
          <w:bCs/>
          <w:sz w:val="24"/>
          <w:szCs w:val="24"/>
          <w:lang w:val="ro-RO"/>
        </w:rPr>
        <w:t>Transparența și accesul public</w:t>
      </w:r>
      <w:r w:rsidRPr="004F4ED1">
        <w:rPr>
          <w:sz w:val="24"/>
          <w:szCs w:val="24"/>
          <w:lang w:val="ro-RO"/>
        </w:rPr>
        <w:t xml:space="preserve"> la informații cadastrale prin e-servicii moderne;</w:t>
      </w:r>
    </w:p>
    <w:p w14:paraId="41DB7002" w14:textId="77777777" w:rsidR="00106A59" w:rsidRPr="004F4ED1" w:rsidRDefault="00106A59" w:rsidP="00106A59">
      <w:pPr>
        <w:numPr>
          <w:ilvl w:val="0"/>
          <w:numId w:val="4"/>
        </w:numPr>
        <w:spacing w:after="0"/>
        <w:jc w:val="both"/>
        <w:rPr>
          <w:sz w:val="24"/>
          <w:szCs w:val="24"/>
          <w:lang w:val="ro-RO"/>
        </w:rPr>
      </w:pPr>
      <w:r w:rsidRPr="004F4ED1">
        <w:rPr>
          <w:b/>
          <w:bCs/>
          <w:sz w:val="24"/>
          <w:szCs w:val="24"/>
          <w:lang w:val="ro-RO"/>
        </w:rPr>
        <w:t xml:space="preserve">Rolul strategic al </w:t>
      </w:r>
      <w:proofErr w:type="spellStart"/>
      <w:r w:rsidRPr="004F4ED1">
        <w:rPr>
          <w:b/>
          <w:bCs/>
          <w:sz w:val="24"/>
          <w:szCs w:val="24"/>
          <w:lang w:val="ro-RO"/>
        </w:rPr>
        <w:t>Lantmäteriet</w:t>
      </w:r>
      <w:proofErr w:type="spellEnd"/>
      <w:r w:rsidRPr="004F4ED1">
        <w:rPr>
          <w:sz w:val="24"/>
          <w:szCs w:val="24"/>
          <w:lang w:val="ro-RO"/>
        </w:rPr>
        <w:t xml:space="preserve"> în procesele de planificare teritorială, construcții și gestionare a situațiilor de urgență.</w:t>
      </w:r>
    </w:p>
    <w:p w14:paraId="1A64D5D2" w14:textId="19781421" w:rsidR="00106A59" w:rsidRPr="004F4ED1" w:rsidRDefault="00106A59" w:rsidP="00106A59">
      <w:pPr>
        <w:spacing w:after="0"/>
        <w:ind w:firstLine="709"/>
        <w:jc w:val="both"/>
        <w:rPr>
          <w:sz w:val="24"/>
          <w:szCs w:val="24"/>
          <w:lang w:val="ro-RO"/>
        </w:rPr>
      </w:pPr>
    </w:p>
    <w:p w14:paraId="296B971B" w14:textId="77777777" w:rsidR="00106A59" w:rsidRPr="004F4ED1" w:rsidRDefault="00106A59" w:rsidP="00106A59">
      <w:pPr>
        <w:spacing w:after="0"/>
        <w:ind w:firstLine="709"/>
        <w:jc w:val="both"/>
        <w:rPr>
          <w:b/>
          <w:bCs/>
          <w:sz w:val="24"/>
          <w:szCs w:val="24"/>
          <w:lang w:val="ro-RO"/>
        </w:rPr>
      </w:pPr>
      <w:r w:rsidRPr="004F4ED1">
        <w:rPr>
          <w:b/>
          <w:bCs/>
          <w:sz w:val="24"/>
          <w:szCs w:val="24"/>
          <w:lang w:val="ro-RO"/>
        </w:rPr>
        <w:t>5. Concluzii</w:t>
      </w:r>
    </w:p>
    <w:p w14:paraId="1F90BB08" w14:textId="77777777" w:rsidR="00106A59" w:rsidRPr="004F4ED1" w:rsidRDefault="00106A59" w:rsidP="00106A59">
      <w:pPr>
        <w:spacing w:after="0"/>
        <w:ind w:firstLine="709"/>
        <w:jc w:val="both"/>
        <w:rPr>
          <w:sz w:val="24"/>
          <w:szCs w:val="24"/>
          <w:lang w:val="ro-RO"/>
        </w:rPr>
      </w:pPr>
      <w:r w:rsidRPr="004F4ED1">
        <w:rPr>
          <w:sz w:val="24"/>
          <w:szCs w:val="24"/>
          <w:lang w:val="ro-RO"/>
        </w:rPr>
        <w:t xml:space="preserve">Vizita de studiu la </w:t>
      </w:r>
      <w:proofErr w:type="spellStart"/>
      <w:r w:rsidRPr="004F4ED1">
        <w:rPr>
          <w:sz w:val="24"/>
          <w:szCs w:val="24"/>
          <w:lang w:val="ro-RO"/>
        </w:rPr>
        <w:t>Lantmäteriet</w:t>
      </w:r>
      <w:proofErr w:type="spellEnd"/>
      <w:r w:rsidRPr="004F4ED1">
        <w:rPr>
          <w:sz w:val="24"/>
          <w:szCs w:val="24"/>
          <w:lang w:val="ro-RO"/>
        </w:rPr>
        <w:t xml:space="preserve"> a constituit un pas semnificativ în consolidarea capacităților instituționale ale Republicii Moldova în domeniul cadastrului și administrării terenurilor.</w:t>
      </w:r>
      <w:r w:rsidRPr="004F4ED1">
        <w:rPr>
          <w:sz w:val="24"/>
          <w:szCs w:val="24"/>
          <w:lang w:val="ro-RO"/>
        </w:rPr>
        <w:br/>
        <w:t>Experiența suedeză a demonstrat eficiența unui sistem cadastral complet digitalizat, bazat pe transparență, colaborare interinstituțională și guvernanță modernă a datelor.</w:t>
      </w:r>
    </w:p>
    <w:p w14:paraId="0E63DBAE" w14:textId="77777777" w:rsidR="00106A59" w:rsidRPr="004F4ED1" w:rsidRDefault="00106A59" w:rsidP="00106A59">
      <w:pPr>
        <w:spacing w:after="0"/>
        <w:ind w:firstLine="709"/>
        <w:jc w:val="both"/>
        <w:rPr>
          <w:sz w:val="24"/>
          <w:szCs w:val="24"/>
          <w:lang w:val="ro-RO"/>
        </w:rPr>
      </w:pPr>
      <w:r w:rsidRPr="004F4ED1">
        <w:rPr>
          <w:sz w:val="24"/>
          <w:szCs w:val="24"/>
          <w:lang w:val="ro-RO"/>
        </w:rPr>
        <w:t>Participarea delegației a oferit oportunitatea de:</w:t>
      </w:r>
    </w:p>
    <w:p w14:paraId="27EF5769" w14:textId="77777777" w:rsidR="00106A59" w:rsidRPr="004F4ED1" w:rsidRDefault="00106A59" w:rsidP="00106A59">
      <w:pPr>
        <w:numPr>
          <w:ilvl w:val="0"/>
          <w:numId w:val="5"/>
        </w:numPr>
        <w:spacing w:after="0"/>
        <w:jc w:val="both"/>
        <w:rPr>
          <w:sz w:val="24"/>
          <w:szCs w:val="24"/>
          <w:lang w:val="ro-RO"/>
        </w:rPr>
      </w:pPr>
      <w:r w:rsidRPr="004F4ED1">
        <w:rPr>
          <w:sz w:val="24"/>
          <w:szCs w:val="24"/>
          <w:lang w:val="ro-RO"/>
        </w:rPr>
        <w:t>a identifica direcții de armonizare a cadrului normativ și tehnologic național cu standardele europene;</w:t>
      </w:r>
    </w:p>
    <w:p w14:paraId="23F92FA3" w14:textId="77777777" w:rsidR="00106A59" w:rsidRPr="004F4ED1" w:rsidRDefault="00106A59" w:rsidP="00106A59">
      <w:pPr>
        <w:numPr>
          <w:ilvl w:val="0"/>
          <w:numId w:val="5"/>
        </w:numPr>
        <w:spacing w:after="0"/>
        <w:jc w:val="both"/>
        <w:rPr>
          <w:sz w:val="24"/>
          <w:szCs w:val="24"/>
          <w:lang w:val="ro-RO"/>
        </w:rPr>
      </w:pPr>
      <w:r w:rsidRPr="004F4ED1">
        <w:rPr>
          <w:sz w:val="24"/>
          <w:szCs w:val="24"/>
          <w:lang w:val="ro-RO"/>
        </w:rPr>
        <w:t>a fortifica relațiile de cooperare între instituțiile de profil din Moldova și Suedia;</w:t>
      </w:r>
    </w:p>
    <w:p w14:paraId="29A5478C" w14:textId="77777777" w:rsidR="00106A59" w:rsidRPr="004F4ED1" w:rsidRDefault="00106A59" w:rsidP="00106A59">
      <w:pPr>
        <w:numPr>
          <w:ilvl w:val="0"/>
          <w:numId w:val="5"/>
        </w:numPr>
        <w:spacing w:after="0"/>
        <w:jc w:val="both"/>
        <w:rPr>
          <w:sz w:val="24"/>
          <w:szCs w:val="24"/>
          <w:lang w:val="ro-RO"/>
        </w:rPr>
      </w:pPr>
      <w:r w:rsidRPr="004F4ED1">
        <w:rPr>
          <w:sz w:val="24"/>
          <w:szCs w:val="24"/>
          <w:lang w:val="ro-RO"/>
        </w:rPr>
        <w:t>a impulsiona procesul de digitalizare a serviciilor publice cadastrale și de creare a infrastructurii geospațiale naționale.</w:t>
      </w:r>
    </w:p>
    <w:p w14:paraId="44B69CB4" w14:textId="77777777" w:rsidR="00106A59" w:rsidRPr="004F4ED1" w:rsidRDefault="00106A59" w:rsidP="00106A59">
      <w:pPr>
        <w:spacing w:after="0"/>
        <w:ind w:firstLine="709"/>
        <w:jc w:val="both"/>
        <w:rPr>
          <w:sz w:val="24"/>
          <w:szCs w:val="24"/>
          <w:lang w:val="ro-RO"/>
        </w:rPr>
      </w:pPr>
      <w:r w:rsidRPr="004F4ED1">
        <w:rPr>
          <w:sz w:val="24"/>
          <w:szCs w:val="24"/>
          <w:lang w:val="ro-RO"/>
        </w:rPr>
        <w:t>Vizita s-a desfășurat în cadrul Proiectului de Înregistrare și Evaluare Funciară, cu sprijinul partenerilor internaționali, contribuind la modernizarea continuă a sistemului cadastral al Republicii Moldova.</w:t>
      </w:r>
    </w:p>
    <w:p w14:paraId="6A18563E" w14:textId="77777777" w:rsidR="00F12C76" w:rsidRPr="004F4ED1" w:rsidRDefault="00F12C76" w:rsidP="006C0B77">
      <w:pPr>
        <w:spacing w:after="0"/>
        <w:ind w:firstLine="709"/>
        <w:jc w:val="both"/>
        <w:rPr>
          <w:sz w:val="24"/>
          <w:szCs w:val="24"/>
          <w:lang w:val="ro-RO"/>
        </w:rPr>
      </w:pPr>
    </w:p>
    <w:p w14:paraId="21611EC3" w14:textId="469C3323" w:rsidR="00106A59" w:rsidRPr="004F4ED1" w:rsidRDefault="00106A59" w:rsidP="00106A59">
      <w:pPr>
        <w:spacing w:after="0"/>
        <w:rPr>
          <w:rFonts w:cs="Times New Roman"/>
          <w:sz w:val="24"/>
          <w:szCs w:val="24"/>
          <w:lang w:val="ro-RO"/>
        </w:rPr>
      </w:pPr>
    </w:p>
    <w:p w14:paraId="22228550" w14:textId="77777777" w:rsidR="00106A59" w:rsidRPr="004F4ED1" w:rsidRDefault="00106A59" w:rsidP="006C0B77">
      <w:pPr>
        <w:spacing w:after="0"/>
        <w:ind w:firstLine="709"/>
        <w:jc w:val="both"/>
        <w:rPr>
          <w:sz w:val="24"/>
          <w:szCs w:val="24"/>
          <w:lang w:val="ro-RO"/>
        </w:rPr>
      </w:pPr>
    </w:p>
    <w:sectPr w:rsidR="00106A59" w:rsidRPr="004F4ED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D9E"/>
    <w:multiLevelType w:val="multilevel"/>
    <w:tmpl w:val="9444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06AD5"/>
    <w:multiLevelType w:val="multilevel"/>
    <w:tmpl w:val="99F4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65B38"/>
    <w:multiLevelType w:val="multilevel"/>
    <w:tmpl w:val="997A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B0C15"/>
    <w:multiLevelType w:val="multilevel"/>
    <w:tmpl w:val="68F8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342F0"/>
    <w:multiLevelType w:val="hybridMultilevel"/>
    <w:tmpl w:val="547C8AAA"/>
    <w:lvl w:ilvl="0" w:tplc="1D4C409E">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5" w15:restartNumberingAfterBreak="0">
    <w:nsid w:val="6A230BEC"/>
    <w:multiLevelType w:val="multilevel"/>
    <w:tmpl w:val="33C8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106859">
    <w:abstractNumId w:val="2"/>
  </w:num>
  <w:num w:numId="2" w16cid:durableId="1427262873">
    <w:abstractNumId w:val="5"/>
  </w:num>
  <w:num w:numId="3" w16cid:durableId="41639826">
    <w:abstractNumId w:val="0"/>
  </w:num>
  <w:num w:numId="4" w16cid:durableId="696737789">
    <w:abstractNumId w:val="1"/>
  </w:num>
  <w:num w:numId="5" w16cid:durableId="684401033">
    <w:abstractNumId w:val="3"/>
  </w:num>
  <w:num w:numId="6" w16cid:durableId="1616910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02B30"/>
    <w:rsid w:val="00106A59"/>
    <w:rsid w:val="0043605F"/>
    <w:rsid w:val="004F4ED1"/>
    <w:rsid w:val="00575AAB"/>
    <w:rsid w:val="005F2D1D"/>
    <w:rsid w:val="006C0B77"/>
    <w:rsid w:val="008242FF"/>
    <w:rsid w:val="00830930"/>
    <w:rsid w:val="00870751"/>
    <w:rsid w:val="00883A14"/>
    <w:rsid w:val="00922C48"/>
    <w:rsid w:val="00B02B3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A8A8"/>
  <w15:chartTrackingRefBased/>
  <w15:docId w15:val="{051F0A4D-1264-4A11-9FBC-8753DC3A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lang w:val="ro-MD"/>
    </w:rPr>
  </w:style>
  <w:style w:type="paragraph" w:styleId="Titlu1">
    <w:name w:val="heading 1"/>
    <w:basedOn w:val="Normal"/>
    <w:next w:val="Normal"/>
    <w:link w:val="Titlu1Caracter"/>
    <w:uiPriority w:val="9"/>
    <w:qFormat/>
    <w:rsid w:val="00B02B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B02B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B02B3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B02B3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B02B30"/>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B02B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B02B30"/>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B02B30"/>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B02B30"/>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02B30"/>
    <w:rPr>
      <w:rFonts w:asciiTheme="majorHAnsi" w:eastAsiaTheme="majorEastAsia" w:hAnsiTheme="majorHAnsi" w:cstheme="majorBidi"/>
      <w:color w:val="2E74B5" w:themeColor="accent1" w:themeShade="BF"/>
      <w:sz w:val="40"/>
      <w:szCs w:val="40"/>
      <w:lang w:val="ro-MD"/>
    </w:rPr>
  </w:style>
  <w:style w:type="character" w:customStyle="1" w:styleId="Titlu2Caracter">
    <w:name w:val="Titlu 2 Caracter"/>
    <w:basedOn w:val="Fontdeparagrafimplicit"/>
    <w:link w:val="Titlu2"/>
    <w:uiPriority w:val="9"/>
    <w:semiHidden/>
    <w:rsid w:val="00B02B30"/>
    <w:rPr>
      <w:rFonts w:asciiTheme="majorHAnsi" w:eastAsiaTheme="majorEastAsia" w:hAnsiTheme="majorHAnsi" w:cstheme="majorBidi"/>
      <w:color w:val="2E74B5" w:themeColor="accent1" w:themeShade="BF"/>
      <w:sz w:val="32"/>
      <w:szCs w:val="32"/>
      <w:lang w:val="ro-MD"/>
    </w:rPr>
  </w:style>
  <w:style w:type="character" w:customStyle="1" w:styleId="Titlu3Caracter">
    <w:name w:val="Titlu 3 Caracter"/>
    <w:basedOn w:val="Fontdeparagrafimplicit"/>
    <w:link w:val="Titlu3"/>
    <w:uiPriority w:val="9"/>
    <w:semiHidden/>
    <w:rsid w:val="00B02B30"/>
    <w:rPr>
      <w:rFonts w:eastAsiaTheme="majorEastAsia" w:cstheme="majorBidi"/>
      <w:color w:val="2E74B5" w:themeColor="accent1" w:themeShade="BF"/>
      <w:sz w:val="28"/>
      <w:szCs w:val="28"/>
      <w:lang w:val="ro-MD"/>
    </w:rPr>
  </w:style>
  <w:style w:type="character" w:customStyle="1" w:styleId="Titlu4Caracter">
    <w:name w:val="Titlu 4 Caracter"/>
    <w:basedOn w:val="Fontdeparagrafimplicit"/>
    <w:link w:val="Titlu4"/>
    <w:uiPriority w:val="9"/>
    <w:semiHidden/>
    <w:rsid w:val="00B02B30"/>
    <w:rPr>
      <w:rFonts w:eastAsiaTheme="majorEastAsia" w:cstheme="majorBidi"/>
      <w:i/>
      <w:iCs/>
      <w:color w:val="2E74B5" w:themeColor="accent1" w:themeShade="BF"/>
      <w:sz w:val="28"/>
      <w:lang w:val="ro-MD"/>
    </w:rPr>
  </w:style>
  <w:style w:type="character" w:customStyle="1" w:styleId="Titlu5Caracter">
    <w:name w:val="Titlu 5 Caracter"/>
    <w:basedOn w:val="Fontdeparagrafimplicit"/>
    <w:link w:val="Titlu5"/>
    <w:uiPriority w:val="9"/>
    <w:semiHidden/>
    <w:rsid w:val="00B02B30"/>
    <w:rPr>
      <w:rFonts w:eastAsiaTheme="majorEastAsia" w:cstheme="majorBidi"/>
      <w:color w:val="2E74B5" w:themeColor="accent1" w:themeShade="BF"/>
      <w:sz w:val="28"/>
      <w:lang w:val="ro-MD"/>
    </w:rPr>
  </w:style>
  <w:style w:type="character" w:customStyle="1" w:styleId="Titlu6Caracter">
    <w:name w:val="Titlu 6 Caracter"/>
    <w:basedOn w:val="Fontdeparagrafimplicit"/>
    <w:link w:val="Titlu6"/>
    <w:uiPriority w:val="9"/>
    <w:semiHidden/>
    <w:rsid w:val="00B02B30"/>
    <w:rPr>
      <w:rFonts w:eastAsiaTheme="majorEastAsia" w:cstheme="majorBidi"/>
      <w:i/>
      <w:iCs/>
      <w:color w:val="595959" w:themeColor="text1" w:themeTint="A6"/>
      <w:sz w:val="28"/>
      <w:lang w:val="ro-MD"/>
    </w:rPr>
  </w:style>
  <w:style w:type="character" w:customStyle="1" w:styleId="Titlu7Caracter">
    <w:name w:val="Titlu 7 Caracter"/>
    <w:basedOn w:val="Fontdeparagrafimplicit"/>
    <w:link w:val="Titlu7"/>
    <w:uiPriority w:val="9"/>
    <w:semiHidden/>
    <w:rsid w:val="00B02B30"/>
    <w:rPr>
      <w:rFonts w:eastAsiaTheme="majorEastAsia" w:cstheme="majorBidi"/>
      <w:color w:val="595959" w:themeColor="text1" w:themeTint="A6"/>
      <w:sz w:val="28"/>
      <w:lang w:val="ro-MD"/>
    </w:rPr>
  </w:style>
  <w:style w:type="character" w:customStyle="1" w:styleId="Titlu8Caracter">
    <w:name w:val="Titlu 8 Caracter"/>
    <w:basedOn w:val="Fontdeparagrafimplicit"/>
    <w:link w:val="Titlu8"/>
    <w:uiPriority w:val="9"/>
    <w:semiHidden/>
    <w:rsid w:val="00B02B30"/>
    <w:rPr>
      <w:rFonts w:eastAsiaTheme="majorEastAsia" w:cstheme="majorBidi"/>
      <w:i/>
      <w:iCs/>
      <w:color w:val="272727" w:themeColor="text1" w:themeTint="D8"/>
      <w:sz w:val="28"/>
      <w:lang w:val="ro-MD"/>
    </w:rPr>
  </w:style>
  <w:style w:type="character" w:customStyle="1" w:styleId="Titlu9Caracter">
    <w:name w:val="Titlu 9 Caracter"/>
    <w:basedOn w:val="Fontdeparagrafimplicit"/>
    <w:link w:val="Titlu9"/>
    <w:uiPriority w:val="9"/>
    <w:semiHidden/>
    <w:rsid w:val="00B02B30"/>
    <w:rPr>
      <w:rFonts w:eastAsiaTheme="majorEastAsia" w:cstheme="majorBidi"/>
      <w:color w:val="272727" w:themeColor="text1" w:themeTint="D8"/>
      <w:sz w:val="28"/>
      <w:lang w:val="ro-MD"/>
    </w:rPr>
  </w:style>
  <w:style w:type="paragraph" w:styleId="Titlu">
    <w:name w:val="Title"/>
    <w:basedOn w:val="Normal"/>
    <w:next w:val="Normal"/>
    <w:link w:val="TitluCaracter"/>
    <w:uiPriority w:val="10"/>
    <w:qFormat/>
    <w:rsid w:val="00B02B3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02B30"/>
    <w:rPr>
      <w:rFonts w:asciiTheme="majorHAnsi" w:eastAsiaTheme="majorEastAsia" w:hAnsiTheme="majorHAnsi" w:cstheme="majorBidi"/>
      <w:spacing w:val="-10"/>
      <w:kern w:val="28"/>
      <w:sz w:val="56"/>
      <w:szCs w:val="56"/>
      <w:lang w:val="ro-MD"/>
    </w:rPr>
  </w:style>
  <w:style w:type="paragraph" w:styleId="Subtitlu">
    <w:name w:val="Subtitle"/>
    <w:basedOn w:val="Normal"/>
    <w:next w:val="Normal"/>
    <w:link w:val="SubtitluCaracter"/>
    <w:uiPriority w:val="11"/>
    <w:qFormat/>
    <w:rsid w:val="00B02B3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B02B30"/>
    <w:rPr>
      <w:rFonts w:eastAsiaTheme="majorEastAsia" w:cstheme="majorBidi"/>
      <w:color w:val="595959" w:themeColor="text1" w:themeTint="A6"/>
      <w:spacing w:val="15"/>
      <w:sz w:val="28"/>
      <w:szCs w:val="28"/>
      <w:lang w:val="ro-MD"/>
    </w:rPr>
  </w:style>
  <w:style w:type="paragraph" w:styleId="Citat">
    <w:name w:val="Quote"/>
    <w:basedOn w:val="Normal"/>
    <w:next w:val="Normal"/>
    <w:link w:val="CitatCaracter"/>
    <w:uiPriority w:val="29"/>
    <w:qFormat/>
    <w:rsid w:val="00B02B3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02B30"/>
    <w:rPr>
      <w:rFonts w:ascii="Times New Roman" w:hAnsi="Times New Roman"/>
      <w:i/>
      <w:iCs/>
      <w:color w:val="404040" w:themeColor="text1" w:themeTint="BF"/>
      <w:sz w:val="28"/>
      <w:lang w:val="ro-MD"/>
    </w:rPr>
  </w:style>
  <w:style w:type="paragraph" w:styleId="Listparagraf">
    <w:name w:val="List Paragraph"/>
    <w:basedOn w:val="Normal"/>
    <w:uiPriority w:val="34"/>
    <w:qFormat/>
    <w:rsid w:val="00B02B30"/>
    <w:pPr>
      <w:ind w:left="720"/>
      <w:contextualSpacing/>
    </w:pPr>
  </w:style>
  <w:style w:type="character" w:styleId="Accentuareintens">
    <w:name w:val="Intense Emphasis"/>
    <w:basedOn w:val="Fontdeparagrafimplicit"/>
    <w:uiPriority w:val="21"/>
    <w:qFormat/>
    <w:rsid w:val="00B02B30"/>
    <w:rPr>
      <w:i/>
      <w:iCs/>
      <w:color w:val="2E74B5" w:themeColor="accent1" w:themeShade="BF"/>
    </w:rPr>
  </w:style>
  <w:style w:type="paragraph" w:styleId="Citatintens">
    <w:name w:val="Intense Quote"/>
    <w:basedOn w:val="Normal"/>
    <w:next w:val="Normal"/>
    <w:link w:val="CitatintensCaracter"/>
    <w:uiPriority w:val="30"/>
    <w:qFormat/>
    <w:rsid w:val="00B02B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B02B30"/>
    <w:rPr>
      <w:rFonts w:ascii="Times New Roman" w:hAnsi="Times New Roman"/>
      <w:i/>
      <w:iCs/>
      <w:color w:val="2E74B5" w:themeColor="accent1" w:themeShade="BF"/>
      <w:sz w:val="28"/>
      <w:lang w:val="ro-MD"/>
    </w:rPr>
  </w:style>
  <w:style w:type="character" w:styleId="Referireintens">
    <w:name w:val="Intense Reference"/>
    <w:basedOn w:val="Fontdeparagrafimplicit"/>
    <w:uiPriority w:val="32"/>
    <w:qFormat/>
    <w:rsid w:val="00B02B30"/>
    <w:rPr>
      <w:b/>
      <w:bCs/>
      <w:smallCaps/>
      <w:color w:val="2E74B5" w:themeColor="accent1" w:themeShade="BF"/>
      <w:spacing w:val="5"/>
    </w:rPr>
  </w:style>
  <w:style w:type="paragraph" w:styleId="Corptext">
    <w:name w:val="Body Text"/>
    <w:basedOn w:val="Normal"/>
    <w:link w:val="CorptextCaracter"/>
    <w:uiPriority w:val="99"/>
    <w:rsid w:val="00106A59"/>
    <w:pPr>
      <w:spacing w:after="140" w:line="288" w:lineRule="auto"/>
    </w:pPr>
    <w:rPr>
      <w:rFonts w:ascii="Calibri" w:eastAsia="Times New Roman" w:hAnsi="Calibri" w:cs="Times New Roman"/>
      <w:kern w:val="0"/>
      <w:sz w:val="22"/>
      <w:lang w:val="en-US"/>
    </w:rPr>
  </w:style>
  <w:style w:type="character" w:customStyle="1" w:styleId="CorptextCaracter">
    <w:name w:val="Corp text Caracter"/>
    <w:basedOn w:val="Fontdeparagrafimplicit"/>
    <w:link w:val="Corptext"/>
    <w:uiPriority w:val="99"/>
    <w:rsid w:val="00106A59"/>
    <w:rPr>
      <w:rFonts w:ascii="Calibri" w:eastAsia="Times New Roman" w:hAnsi="Calibri"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Lantm%C3%A4teri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748</Words>
  <Characters>4345</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Chirtoaca</dc:creator>
  <cp:keywords/>
  <dc:description/>
  <cp:lastModifiedBy>Harcenco Elena</cp:lastModifiedBy>
  <cp:revision>3</cp:revision>
  <dcterms:created xsi:type="dcterms:W3CDTF">2025-11-03T11:57:00Z</dcterms:created>
  <dcterms:modified xsi:type="dcterms:W3CDTF">2025-11-03T12:04:00Z</dcterms:modified>
</cp:coreProperties>
</file>